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1BA" w:rsidRPr="001738FE" w:rsidRDefault="008911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CBA" w:rsidRPr="001738FE" w:rsidRDefault="00776CBA" w:rsidP="00442ED5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18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12-16 OCAK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9457E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C1ADF">
              <w:rPr>
                <w:rFonts w:ascii="Tahoma" w:hAnsi="Tahoma" w:cs="Tahoma"/>
                <w:b/>
                <w:bCs/>
                <w:color w:val="FF0000"/>
              </w:rPr>
              <w:t>Reklamları Çizen Çocuk  (Serbest Okuma Metni)                                      Tema Sonu Çalışmaları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5C1ADF" w:rsidRDefault="005C1ADF" w:rsidP="005C1AD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5C1ADF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 xml:space="preserve">T.3.3.2. Noktalama işaretlerine dikkat ederek okur. 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 .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T.3.4.6. Formları yönergelerine uygun doldurur</w:t>
            </w:r>
            <w:r w:rsidRPr="005C1ADF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5C1ADF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harfleri asli ve ilave unsurlarına dikkat ederek yazmaları sağlanır.</w:t>
            </w:r>
          </w:p>
        </w:tc>
      </w:tr>
      <w:tr w:rsidR="005C1ADF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5C1ADF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5C1ADF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ADF" w:rsidRPr="001738FE" w:rsidRDefault="005C1ADF" w:rsidP="005C1AD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ED2F2A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ED2F2A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